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E1" w:rsidRPr="009A5FE1" w:rsidRDefault="009A5FE1" w:rsidP="009A5FE1">
      <w:pPr>
        <w:adjustRightInd/>
        <w:spacing w:after="0" w:line="300" w:lineRule="atLeast"/>
        <w:jc w:val="center"/>
        <w:rPr>
          <w:rFonts w:ascii="宋体" w:eastAsia="宋体" w:hAnsi="宋体" w:cs="宋体"/>
          <w:b/>
          <w:color w:val="000000"/>
          <w:sz w:val="36"/>
          <w:szCs w:val="36"/>
        </w:rPr>
      </w:pPr>
      <w:r w:rsidRPr="009A5FE1">
        <w:rPr>
          <w:rFonts w:ascii="宋体" w:eastAsia="宋体" w:hAnsi="宋体" w:cs="宋体"/>
          <w:b/>
          <w:color w:val="000000"/>
          <w:sz w:val="36"/>
          <w:szCs w:val="36"/>
        </w:rPr>
        <w:t>福州大学旗山、怡山校区公用房管理办法（试行）</w:t>
      </w:r>
    </w:p>
    <w:p w:rsidR="009A5FE1" w:rsidRPr="009A5FE1" w:rsidRDefault="009A5FE1" w:rsidP="009A5FE1">
      <w:pPr>
        <w:adjustRightInd/>
        <w:spacing w:after="0" w:line="300" w:lineRule="atLeast"/>
        <w:jc w:val="center"/>
        <w:rPr>
          <w:rFonts w:ascii="宋体" w:eastAsia="宋体" w:hAnsi="宋体" w:cs="宋体"/>
          <w:color w:val="000000"/>
          <w:sz w:val="20"/>
          <w:szCs w:val="20"/>
        </w:rPr>
      </w:pPr>
      <w:r w:rsidRPr="009A5FE1">
        <w:rPr>
          <w:rFonts w:ascii="宋体" w:eastAsia="宋体" w:hAnsi="宋体" w:cs="宋体"/>
          <w:color w:val="000000"/>
          <w:sz w:val="20"/>
          <w:szCs w:val="20"/>
        </w:rPr>
        <w:t> </w:t>
      </w:r>
    </w:p>
    <w:p w:rsidR="009A5FE1" w:rsidRPr="009A5FE1" w:rsidRDefault="009A5FE1" w:rsidP="009A5FE1">
      <w:pPr>
        <w:adjustRightInd/>
        <w:spacing w:after="156" w:line="540" w:lineRule="atLeast"/>
        <w:jc w:val="center"/>
        <w:rPr>
          <w:rFonts w:ascii="宋体" w:eastAsia="宋体" w:hAnsi="宋体" w:cs="宋体"/>
          <w:b/>
          <w:color w:val="000000"/>
          <w:sz w:val="20"/>
          <w:szCs w:val="20"/>
        </w:rPr>
      </w:pPr>
      <w:r w:rsidRPr="009A5FE1">
        <w:rPr>
          <w:rFonts w:ascii="宋体" w:eastAsia="宋体" w:hAnsi="宋体" w:cs="宋体"/>
          <w:b/>
          <w:color w:val="000000"/>
          <w:sz w:val="32"/>
          <w:szCs w:val="32"/>
        </w:rPr>
        <w:t>第一章 总 则</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b/>
          <w:bCs/>
          <w:color w:val="000000"/>
          <w:spacing w:val="-6"/>
          <w:sz w:val="32"/>
          <w:szCs w:val="32"/>
        </w:rPr>
        <w:t>第一条</w:t>
      </w:r>
      <w:r w:rsidRPr="009A5FE1">
        <w:rPr>
          <w:rFonts w:ascii="宋体" w:eastAsia="宋体" w:hAnsi="宋体" w:cs="宋体"/>
          <w:color w:val="000000"/>
          <w:spacing w:val="-6"/>
          <w:sz w:val="32"/>
          <w:szCs w:val="32"/>
        </w:rPr>
        <w:t> 公用房是学校重要的办学资源，为实现学校教学、科研的可持续发展，体现以人为本的办学理念，保障教职工基本工作条件，优化公用房定额配置，不断提高公用房的使用效率和管理水平，依据《普通高校建设规划面积指标》（建标〔1992〕245号）、《普通高等学校基本办学条件指标(试行)》（教发〔2004〕2号）和《党政机关办公用房建设标准》（发改投资〔2014〕2674号），结合学校实际制定本办法。</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b/>
          <w:bCs/>
          <w:color w:val="000000"/>
          <w:spacing w:val="-6"/>
          <w:sz w:val="32"/>
          <w:szCs w:val="32"/>
        </w:rPr>
        <w:t>第二条</w:t>
      </w:r>
      <w:r w:rsidRPr="009A5FE1">
        <w:rPr>
          <w:rFonts w:ascii="宋体" w:eastAsia="宋体" w:hAnsi="宋体" w:cs="宋体"/>
          <w:color w:val="000000"/>
          <w:spacing w:val="-6"/>
          <w:sz w:val="32"/>
          <w:szCs w:val="32"/>
        </w:rPr>
        <w:t> 本</w:t>
      </w:r>
      <w:r w:rsidRPr="009A5FE1">
        <w:rPr>
          <w:rFonts w:ascii="宋体" w:eastAsia="宋体" w:hAnsi="宋体" w:cs="宋体"/>
          <w:color w:val="000000"/>
          <w:spacing w:val="-12"/>
          <w:sz w:val="32"/>
          <w:szCs w:val="32"/>
        </w:rPr>
        <w:t>办法所称的公用房是指学校的一切房屋、场馆及附属配套建筑，包括引进校外资金或校内单位自筹资金建造的各类房屋。</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b/>
          <w:bCs/>
          <w:color w:val="000000"/>
          <w:spacing w:val="-6"/>
          <w:sz w:val="32"/>
          <w:szCs w:val="32"/>
        </w:rPr>
        <w:t xml:space="preserve">第三条 </w:t>
      </w:r>
      <w:r w:rsidRPr="009A5FE1">
        <w:rPr>
          <w:rFonts w:ascii="宋体" w:eastAsia="宋体" w:hAnsi="宋体" w:cs="宋体"/>
          <w:color w:val="000000"/>
          <w:spacing w:val="-6"/>
          <w:sz w:val="32"/>
          <w:szCs w:val="32"/>
        </w:rPr>
        <w:t> 本办法中所称的面积均为建筑面积，除隶属福州大学国家大学科技园的公用房外，均不计算门厅、走廊、阳台、卫生间、楼梯等公共面积和配电室、水泵房等的面积。</w:t>
      </w:r>
    </w:p>
    <w:p w:rsidR="009A5FE1" w:rsidRPr="009A5FE1" w:rsidRDefault="009A5FE1" w:rsidP="009A5FE1">
      <w:pPr>
        <w:adjustRightInd/>
        <w:spacing w:after="156" w:line="540" w:lineRule="atLeast"/>
        <w:jc w:val="center"/>
        <w:rPr>
          <w:rFonts w:ascii="宋体" w:eastAsia="宋体" w:hAnsi="宋体" w:cs="宋体"/>
          <w:b/>
          <w:color w:val="000000"/>
          <w:sz w:val="20"/>
          <w:szCs w:val="20"/>
        </w:rPr>
      </w:pPr>
      <w:r w:rsidRPr="009A5FE1">
        <w:rPr>
          <w:rFonts w:ascii="宋体" w:eastAsia="宋体" w:hAnsi="宋体" w:cs="宋体"/>
          <w:b/>
          <w:color w:val="000000"/>
          <w:sz w:val="32"/>
          <w:szCs w:val="32"/>
        </w:rPr>
        <w:t>第二章 管理原则</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b/>
          <w:bCs/>
          <w:color w:val="000000"/>
          <w:spacing w:val="-6"/>
          <w:sz w:val="32"/>
          <w:szCs w:val="32"/>
        </w:rPr>
        <w:t>第四条 </w:t>
      </w:r>
      <w:r w:rsidRPr="009A5FE1">
        <w:rPr>
          <w:rFonts w:ascii="宋体" w:eastAsia="宋体" w:hAnsi="宋体" w:cs="宋体"/>
          <w:color w:val="000000"/>
          <w:spacing w:val="-6"/>
          <w:sz w:val="32"/>
          <w:szCs w:val="32"/>
        </w:rPr>
        <w:t>公用房实行校、学院（含校二级单位，下同）两级管理体制。</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学校成立校公用房管理工作领导小组，组长由分管校领导担任，各有关部门负责人任成员，领导小组办公室挂靠基建资产管理处。校公用房管理工作领导小组负责制定学校公共用房政策、审定各学院用房方案、协调公用房管理中的有关事项。公用房管理中的重大事项报校长办公会讨论决定。</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各学院负责本单位公用房的二次配置及内部核算，各学院应根据本单位实际合理安排各类用房。</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b/>
          <w:bCs/>
          <w:color w:val="000000"/>
          <w:spacing w:val="-6"/>
          <w:sz w:val="32"/>
          <w:szCs w:val="32"/>
        </w:rPr>
        <w:lastRenderedPageBreak/>
        <w:t xml:space="preserve">第五条 </w:t>
      </w:r>
      <w:r w:rsidRPr="009A5FE1">
        <w:rPr>
          <w:rFonts w:ascii="宋体" w:eastAsia="宋体" w:hAnsi="宋体" w:cs="宋体"/>
          <w:color w:val="000000"/>
          <w:spacing w:val="-6"/>
          <w:sz w:val="32"/>
          <w:szCs w:val="32"/>
        </w:rPr>
        <w:t> 公用房实行“整体配置、有偿使用、定额补贴、绩效奖励”的管理原则。</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整体配置是指学校以满足基本的教学和办公需要为标准为学院配置公用房。</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有偿使用是指超出学校定额配置公用房面积以外的空间面积，须缴纳房产资源费。</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定额补贴是指使用的公用房未达定额面积的，差额部分由学校依据房源或资金情况逐步调整或补贴。</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绩效奖励是指学校收取的房产资源费以一定的形式考核、奖励给学院。</w:t>
      </w:r>
    </w:p>
    <w:p w:rsidR="009A5FE1" w:rsidRPr="009A5FE1" w:rsidRDefault="009A5FE1" w:rsidP="009A5FE1">
      <w:pPr>
        <w:adjustRightInd/>
        <w:spacing w:after="156" w:line="540" w:lineRule="atLeast"/>
        <w:jc w:val="center"/>
        <w:rPr>
          <w:rFonts w:ascii="宋体" w:eastAsia="宋体" w:hAnsi="宋体" w:cs="宋体"/>
          <w:b/>
          <w:color w:val="000000"/>
          <w:sz w:val="20"/>
          <w:szCs w:val="20"/>
        </w:rPr>
      </w:pPr>
      <w:r w:rsidRPr="009A5FE1">
        <w:rPr>
          <w:rFonts w:ascii="宋体" w:eastAsia="宋体" w:hAnsi="宋体" w:cs="宋体"/>
          <w:b/>
          <w:color w:val="000000"/>
          <w:sz w:val="32"/>
          <w:szCs w:val="32"/>
        </w:rPr>
        <w:t>第三章 管理办法</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b/>
          <w:bCs/>
          <w:color w:val="000000"/>
          <w:spacing w:val="-6"/>
          <w:sz w:val="32"/>
          <w:szCs w:val="32"/>
        </w:rPr>
        <w:t xml:space="preserve">第六条 </w:t>
      </w:r>
      <w:r w:rsidRPr="009A5FE1">
        <w:rPr>
          <w:rFonts w:ascii="宋体" w:eastAsia="宋体" w:hAnsi="宋体" w:cs="宋体"/>
          <w:color w:val="000000"/>
          <w:spacing w:val="-6"/>
          <w:sz w:val="32"/>
          <w:szCs w:val="32"/>
        </w:rPr>
        <w:t> 公用房按办公用房、实验教学用房、学生创新创业用房进行分类。</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b/>
          <w:bCs/>
          <w:color w:val="000000"/>
          <w:spacing w:val="-6"/>
          <w:sz w:val="32"/>
          <w:szCs w:val="32"/>
        </w:rPr>
        <w:t>第七条 </w:t>
      </w:r>
      <w:r w:rsidRPr="009A5FE1">
        <w:rPr>
          <w:rFonts w:ascii="宋体" w:eastAsia="宋体" w:hAnsi="宋体" w:cs="宋体"/>
          <w:color w:val="000000"/>
          <w:spacing w:val="-6"/>
          <w:sz w:val="32"/>
          <w:szCs w:val="32"/>
        </w:rPr>
        <w:t xml:space="preserve">办公用房包括教学科研人员办公用房、行政管理人员办公用房、公共行政用房。办公用房实行定额配置。 </w:t>
      </w:r>
      <w:r w:rsidRPr="009A5FE1">
        <w:rPr>
          <w:rFonts w:ascii="宋体" w:eastAsia="宋体" w:hAnsi="宋体" w:cs="宋体"/>
          <w:color w:val="000000"/>
          <w:sz w:val="20"/>
          <w:szCs w:val="20"/>
        </w:rPr>
        <w:t> </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1.教学科研人员办公用房。学校以各学院当年在职的教学科研人员数、按11平方米/人配置给学院，各学院可根据实际情况确定具体标准，但须做到具有高级职称或博士学位的教师均拥有办公室或工作位。院士办公用房按实际使用面积单列。在职教学科研人员未达到编制数的允许学院在缺编范围内预留一定的办公用房。</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 xml:space="preserve">2.行政管理人员办公用房。以各学院当年在职的行政人员按《党政机关办公用房建设标准》的规定配置。 </w:t>
      </w:r>
    </w:p>
    <w:p w:rsidR="009A5FE1" w:rsidRPr="009A5FE1" w:rsidRDefault="009A5FE1" w:rsidP="009A5FE1">
      <w:pPr>
        <w:adjustRightInd/>
        <w:spacing w:after="0" w:line="540" w:lineRule="atLeast"/>
        <w:ind w:firstLine="616"/>
        <w:rPr>
          <w:rFonts w:ascii="宋体" w:eastAsia="宋体" w:hAnsi="宋体" w:cs="宋体"/>
          <w:color w:val="000000"/>
          <w:sz w:val="20"/>
          <w:szCs w:val="20"/>
        </w:rPr>
      </w:pPr>
      <w:r w:rsidRPr="009A5FE1">
        <w:rPr>
          <w:rFonts w:ascii="宋体" w:eastAsia="宋体" w:hAnsi="宋体" w:cs="宋体"/>
          <w:color w:val="000000"/>
          <w:spacing w:val="-6"/>
          <w:sz w:val="32"/>
          <w:szCs w:val="32"/>
        </w:rPr>
        <w:t>3.公共行政用房。根据各学院当年实际在编教职工数进行配置，包括会议室、接待室、多功能厅、陈列室、教工之家、资料室、文印室、学籍档案室、保密室等。标准见表1。</w:t>
      </w:r>
    </w:p>
    <w:p w:rsidR="009A5FE1" w:rsidRPr="009A5FE1" w:rsidRDefault="009A5FE1" w:rsidP="009A5FE1">
      <w:pPr>
        <w:adjustRightInd/>
        <w:spacing w:after="0" w:line="540" w:lineRule="atLeast"/>
        <w:jc w:val="center"/>
        <w:rPr>
          <w:rFonts w:ascii="宋体" w:eastAsia="宋体" w:hAnsi="宋体" w:cs="宋体"/>
          <w:color w:val="000000"/>
          <w:sz w:val="20"/>
          <w:szCs w:val="20"/>
        </w:rPr>
      </w:pPr>
      <w:r w:rsidRPr="009A5FE1">
        <w:rPr>
          <w:rFonts w:ascii="宋体" w:eastAsia="宋体" w:hAnsi="宋体" w:cs="宋体"/>
          <w:b/>
          <w:bCs/>
          <w:color w:val="000000"/>
          <w:sz w:val="32"/>
          <w:szCs w:val="32"/>
        </w:rPr>
        <w:lastRenderedPageBreak/>
        <w:t>表1：公共行政用房定额面积标准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13"/>
        <w:gridCol w:w="1500"/>
        <w:gridCol w:w="2496"/>
        <w:gridCol w:w="2861"/>
      </w:tblGrid>
      <w:tr w:rsidR="009A5FE1" w:rsidRPr="009A5FE1" w:rsidTr="009A5FE1">
        <w:trPr>
          <w:trHeight w:val="397"/>
          <w:tblCellSpacing w:w="0" w:type="dxa"/>
          <w:jc w:val="center"/>
        </w:trPr>
        <w:tc>
          <w:tcPr>
            <w:tcW w:w="2283" w:type="dxa"/>
            <w:tcBorders>
              <w:top w:val="nil"/>
              <w:left w:val="nil"/>
              <w:bottom w:val="nil"/>
              <w:right w:val="nil"/>
            </w:tcBorders>
            <w:shd w:val="clear" w:color="auto" w:fill="auto"/>
            <w:vAlign w:val="center"/>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教职工人数</w:t>
            </w:r>
          </w:p>
        </w:tc>
        <w:tc>
          <w:tcPr>
            <w:tcW w:w="1537" w:type="dxa"/>
            <w:tcBorders>
              <w:top w:val="nil"/>
              <w:left w:val="nil"/>
              <w:bottom w:val="nil"/>
              <w:right w:val="nil"/>
            </w:tcBorders>
            <w:shd w:val="clear" w:color="auto" w:fill="auto"/>
            <w:vAlign w:val="center"/>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≤100</w:t>
            </w:r>
          </w:p>
        </w:tc>
        <w:tc>
          <w:tcPr>
            <w:tcW w:w="2574" w:type="dxa"/>
            <w:tcBorders>
              <w:top w:val="nil"/>
              <w:left w:val="nil"/>
              <w:bottom w:val="nil"/>
              <w:right w:val="nil"/>
            </w:tcBorders>
            <w:shd w:val="clear" w:color="auto" w:fill="auto"/>
            <w:vAlign w:val="center"/>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101～200</w:t>
            </w:r>
          </w:p>
        </w:tc>
        <w:tc>
          <w:tcPr>
            <w:tcW w:w="2954" w:type="dxa"/>
            <w:tcBorders>
              <w:top w:val="nil"/>
              <w:left w:val="nil"/>
              <w:bottom w:val="nil"/>
              <w:right w:val="nil"/>
            </w:tcBorders>
            <w:shd w:val="clear" w:color="auto" w:fill="auto"/>
            <w:vAlign w:val="center"/>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≥201</w:t>
            </w:r>
          </w:p>
        </w:tc>
      </w:tr>
      <w:tr w:rsidR="009A5FE1" w:rsidRPr="009A5FE1" w:rsidTr="009A5FE1">
        <w:trPr>
          <w:trHeight w:val="397"/>
          <w:tblCellSpacing w:w="0" w:type="dxa"/>
          <w:jc w:val="center"/>
        </w:trPr>
        <w:tc>
          <w:tcPr>
            <w:tcW w:w="2283" w:type="dxa"/>
            <w:tcBorders>
              <w:top w:val="nil"/>
              <w:left w:val="nil"/>
              <w:bottom w:val="nil"/>
              <w:right w:val="nil"/>
            </w:tcBorders>
            <w:shd w:val="clear" w:color="auto" w:fill="auto"/>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定额面积</w:t>
            </w:r>
          </w:p>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（平方米）</w:t>
            </w:r>
          </w:p>
        </w:tc>
        <w:tc>
          <w:tcPr>
            <w:tcW w:w="1537" w:type="dxa"/>
            <w:tcBorders>
              <w:top w:val="nil"/>
              <w:left w:val="nil"/>
              <w:bottom w:val="nil"/>
              <w:right w:val="nil"/>
            </w:tcBorders>
            <w:shd w:val="clear" w:color="auto" w:fill="auto"/>
            <w:vAlign w:val="center"/>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 xml:space="preserve">400 </w:t>
            </w:r>
          </w:p>
        </w:tc>
        <w:tc>
          <w:tcPr>
            <w:tcW w:w="2574" w:type="dxa"/>
            <w:tcBorders>
              <w:top w:val="nil"/>
              <w:left w:val="nil"/>
              <w:bottom w:val="nil"/>
              <w:right w:val="nil"/>
            </w:tcBorders>
            <w:shd w:val="clear" w:color="auto" w:fill="auto"/>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每增加1人，</w:t>
            </w:r>
          </w:p>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增加1平方米</w:t>
            </w:r>
          </w:p>
        </w:tc>
        <w:tc>
          <w:tcPr>
            <w:tcW w:w="2954" w:type="dxa"/>
            <w:tcBorders>
              <w:top w:val="nil"/>
              <w:left w:val="nil"/>
              <w:bottom w:val="nil"/>
              <w:right w:val="nil"/>
            </w:tcBorders>
            <w:shd w:val="clear" w:color="auto" w:fill="auto"/>
            <w:hideMark/>
          </w:tcPr>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每增加1人，</w:t>
            </w:r>
          </w:p>
          <w:p w:rsidR="009A5FE1" w:rsidRPr="009A5FE1" w:rsidRDefault="009A5FE1" w:rsidP="009A5FE1">
            <w:pPr>
              <w:adjustRightInd/>
              <w:spacing w:after="0"/>
              <w:jc w:val="center"/>
              <w:rPr>
                <w:rFonts w:ascii="宋体" w:eastAsia="宋体" w:hAnsi="宋体" w:cs="宋体"/>
                <w:sz w:val="24"/>
                <w:szCs w:val="24"/>
              </w:rPr>
            </w:pPr>
            <w:r w:rsidRPr="009A5FE1">
              <w:rPr>
                <w:rFonts w:ascii="宋体" w:eastAsia="宋体" w:hAnsi="宋体" w:cs="宋体"/>
                <w:sz w:val="24"/>
                <w:szCs w:val="24"/>
              </w:rPr>
              <w:t>增加0.5平方米</w:t>
            </w:r>
          </w:p>
        </w:tc>
      </w:tr>
    </w:tbl>
    <w:p w:rsidR="009A5FE1" w:rsidRPr="009A5FE1" w:rsidRDefault="009A5FE1" w:rsidP="009A5FE1">
      <w:pPr>
        <w:adjustRightInd/>
        <w:spacing w:after="0" w:line="540" w:lineRule="atLeast"/>
        <w:ind w:firstLine="602"/>
        <w:rPr>
          <w:rFonts w:ascii="宋体" w:eastAsia="宋体" w:hAnsi="宋体" w:cs="宋体"/>
          <w:color w:val="000000"/>
          <w:sz w:val="20"/>
          <w:szCs w:val="20"/>
        </w:rPr>
      </w:pPr>
      <w:r w:rsidRPr="009A5FE1">
        <w:rPr>
          <w:rFonts w:ascii="宋体" w:eastAsia="宋体" w:hAnsi="宋体" w:cs="宋体"/>
          <w:b/>
          <w:bCs/>
          <w:color w:val="000000"/>
          <w:sz w:val="30"/>
          <w:szCs w:val="30"/>
        </w:rPr>
        <w:t>第</w:t>
      </w:r>
      <w:r w:rsidRPr="009A5FE1">
        <w:rPr>
          <w:rFonts w:ascii="宋体" w:eastAsia="宋体" w:hAnsi="宋体" w:cs="宋体"/>
          <w:b/>
          <w:bCs/>
          <w:color w:val="000000"/>
          <w:spacing w:val="-4"/>
          <w:sz w:val="32"/>
          <w:szCs w:val="32"/>
        </w:rPr>
        <w:t>八条  </w:t>
      </w:r>
      <w:r w:rsidRPr="009A5FE1">
        <w:rPr>
          <w:rFonts w:ascii="宋体" w:eastAsia="宋体" w:hAnsi="宋体" w:cs="宋体"/>
          <w:color w:val="000000"/>
          <w:spacing w:val="-4"/>
          <w:sz w:val="32"/>
          <w:szCs w:val="32"/>
        </w:rPr>
        <w:t>实验教学用房包含实验室、实习场所、仪器设备用房、专业教室等用房。以近年来各学院使用的实验教学用房为基础，按教务处和基建资产管理处于2018年1月联合审核后的各学院实际用于实验教学用房的面积为定额面积标准。</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第九条 </w:t>
      </w:r>
      <w:r w:rsidRPr="009A5FE1">
        <w:rPr>
          <w:rFonts w:ascii="宋体" w:eastAsia="宋体" w:hAnsi="宋体" w:cs="宋体"/>
          <w:color w:val="000000"/>
          <w:spacing w:val="-4"/>
          <w:sz w:val="32"/>
          <w:szCs w:val="32"/>
        </w:rPr>
        <w:t> 学</w:t>
      </w:r>
      <w:r w:rsidRPr="009A5FE1">
        <w:rPr>
          <w:rFonts w:ascii="宋体" w:eastAsia="宋体" w:hAnsi="宋体" w:cs="宋体"/>
          <w:color w:val="000000"/>
          <w:spacing w:val="-12"/>
          <w:sz w:val="32"/>
          <w:szCs w:val="32"/>
        </w:rPr>
        <w:t>生创新创业用房的定额面积以学校批准的面积为准。</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第十条 </w:t>
      </w:r>
      <w:r w:rsidRPr="009A5FE1">
        <w:rPr>
          <w:rFonts w:ascii="宋体" w:eastAsia="宋体" w:hAnsi="宋体" w:cs="宋体"/>
          <w:color w:val="000000"/>
          <w:spacing w:val="-4"/>
          <w:sz w:val="32"/>
          <w:szCs w:val="32"/>
        </w:rPr>
        <w:t> 学校每年核定一次学院的定额面积。学院在使用过程中，若因学科发展急需等原因，确需调整用房面积的，须向学校相关职能部门提出申请，经校公用房管理工作领导小组研究确定后做相应调整。</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第十一条 </w:t>
      </w:r>
      <w:r w:rsidRPr="009A5FE1">
        <w:rPr>
          <w:rFonts w:ascii="宋体" w:eastAsia="宋体" w:hAnsi="宋体" w:cs="宋体"/>
          <w:color w:val="000000"/>
          <w:spacing w:val="-4"/>
          <w:sz w:val="32"/>
          <w:szCs w:val="32"/>
        </w:rPr>
        <w:t>超定额面积用房原则上应交回学校统一调配，确有特殊需要，须向学校提出申请，经批准后方可保留使用。超定额面积由使用学院向学校缴纳房产资源费。</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第十二条 </w:t>
      </w:r>
      <w:r w:rsidRPr="009A5FE1">
        <w:rPr>
          <w:rFonts w:ascii="宋体" w:eastAsia="宋体" w:hAnsi="宋体" w:cs="宋体"/>
          <w:color w:val="000000"/>
          <w:spacing w:val="-4"/>
          <w:sz w:val="32"/>
          <w:szCs w:val="32"/>
        </w:rPr>
        <w:t>对不足定额面积的学院，学校根据房源情况给予调整，一时无法补足的，按公用房使用费标准给予差额面积部分经济补贴。</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第十三条 </w:t>
      </w:r>
      <w:r w:rsidRPr="009A5FE1">
        <w:rPr>
          <w:rFonts w:ascii="宋体" w:eastAsia="宋体" w:hAnsi="宋体" w:cs="宋体"/>
          <w:color w:val="000000"/>
          <w:spacing w:val="-4"/>
          <w:sz w:val="32"/>
          <w:szCs w:val="32"/>
        </w:rPr>
        <w:t>调离人员以及已办完离退休手续的人员，应退出原使用的公用房。对于未及时退出公用房的，学校对人员所在单位收取双倍（288元/平方米·年）房产资源费。</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第十四条 </w:t>
      </w:r>
      <w:r w:rsidRPr="009A5FE1">
        <w:rPr>
          <w:rFonts w:ascii="宋体" w:eastAsia="宋体" w:hAnsi="宋体" w:cs="宋体"/>
          <w:color w:val="000000"/>
          <w:spacing w:val="-4"/>
          <w:sz w:val="32"/>
          <w:szCs w:val="32"/>
        </w:rPr>
        <w:t> 学校所收取的房产资源费，除用于支付实际办公用房少于定额面积标准的学院的补偿金外，其余部分由学校统筹安排，同时根据科研考核结果，分等级拨付各学院作为运行经费。</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第十五条 </w:t>
      </w:r>
      <w:r w:rsidRPr="009A5FE1">
        <w:rPr>
          <w:rFonts w:ascii="宋体" w:eastAsia="宋体" w:hAnsi="宋体" w:cs="宋体"/>
          <w:color w:val="000000"/>
          <w:spacing w:val="-4"/>
          <w:sz w:val="32"/>
          <w:szCs w:val="32"/>
        </w:rPr>
        <w:t> 各学院对所使用的房屋应加强维护，提高房屋的完好率。房屋保修期内的维修项目以及房屋保修期过后的主体承</w:t>
      </w:r>
      <w:r w:rsidRPr="009A5FE1">
        <w:rPr>
          <w:rFonts w:ascii="宋体" w:eastAsia="宋体" w:hAnsi="宋体" w:cs="宋体"/>
          <w:color w:val="000000"/>
          <w:spacing w:val="-4"/>
          <w:sz w:val="32"/>
          <w:szCs w:val="32"/>
        </w:rPr>
        <w:lastRenderedPageBreak/>
        <w:t>重部位（含基础、内外承重墙体、柱、梁、楼板、屋顶等）及公共设施设备（含楼外的供排水系统、供电照明系统、绿地、道路，消防设施等）的维修项目向后勤管理处申请；学院及科研机构用房的楼内部分以及单位自建项目，其维修维护工作由各单位负责；未经校公用房管理工作领导小组同意，各单位不得随意改变房屋结构和外观。</w:t>
      </w:r>
    </w:p>
    <w:p w:rsidR="009A5FE1" w:rsidRPr="009A5FE1" w:rsidRDefault="009A5FE1" w:rsidP="009A5FE1">
      <w:pPr>
        <w:adjustRightInd/>
        <w:spacing w:after="0"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第十六条 </w:t>
      </w:r>
      <w:r w:rsidRPr="009A5FE1">
        <w:rPr>
          <w:rFonts w:ascii="宋体" w:eastAsia="宋体" w:hAnsi="宋体" w:cs="宋体"/>
          <w:color w:val="000000"/>
          <w:spacing w:val="-4"/>
          <w:sz w:val="32"/>
          <w:szCs w:val="32"/>
        </w:rPr>
        <w:t> 各学院要加强对公用房的管理。全体教职工都有管理、爱护公用房及设施的义务和责任。房屋使用单位对本区域内负有直接的安全管理责任，必须建立相应的防火、防盗及各类实验室安全监管的责任体系，并实施常态的安全检查与整改。</w:t>
      </w:r>
    </w:p>
    <w:p w:rsidR="009A5FE1" w:rsidRPr="009A5FE1" w:rsidRDefault="009A5FE1" w:rsidP="009A5FE1">
      <w:pPr>
        <w:adjustRightInd/>
        <w:spacing w:after="156" w:line="540" w:lineRule="atLeast"/>
        <w:jc w:val="center"/>
        <w:rPr>
          <w:rFonts w:ascii="宋体" w:eastAsia="宋体" w:hAnsi="宋体" w:cs="宋体"/>
          <w:b/>
          <w:color w:val="000000"/>
          <w:sz w:val="20"/>
          <w:szCs w:val="20"/>
        </w:rPr>
      </w:pPr>
      <w:r w:rsidRPr="009A5FE1">
        <w:rPr>
          <w:rFonts w:ascii="宋体" w:eastAsia="宋体" w:hAnsi="宋体" w:cs="宋体"/>
          <w:b/>
          <w:color w:val="000000"/>
          <w:sz w:val="32"/>
          <w:szCs w:val="32"/>
        </w:rPr>
        <w:t>第四章 核算与收费</w:t>
      </w:r>
    </w:p>
    <w:p w:rsidR="009A5FE1" w:rsidRPr="009A5FE1" w:rsidRDefault="009A5FE1" w:rsidP="009A5FE1">
      <w:pPr>
        <w:adjustRightInd/>
        <w:spacing w:after="156" w:line="54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第十七条 </w:t>
      </w:r>
      <w:r w:rsidRPr="009A5FE1">
        <w:rPr>
          <w:rFonts w:ascii="宋体" w:eastAsia="宋体" w:hAnsi="宋体" w:cs="宋体"/>
          <w:color w:val="000000"/>
          <w:spacing w:val="-4"/>
          <w:sz w:val="32"/>
          <w:szCs w:val="32"/>
        </w:rPr>
        <w:t>各学院定额面积内的办公用房、实验教学用房和</w:t>
      </w:r>
    </w:p>
    <w:p w:rsidR="009A5FE1" w:rsidRPr="009A5FE1" w:rsidRDefault="009A5FE1" w:rsidP="009A5FE1">
      <w:pPr>
        <w:adjustRightInd/>
        <w:spacing w:after="0" w:line="520" w:lineRule="atLeast"/>
        <w:rPr>
          <w:rFonts w:ascii="宋体" w:eastAsia="宋体" w:hAnsi="宋体" w:cs="宋体"/>
          <w:color w:val="000000"/>
          <w:sz w:val="20"/>
          <w:szCs w:val="20"/>
        </w:rPr>
      </w:pPr>
      <w:r w:rsidRPr="009A5FE1">
        <w:rPr>
          <w:rFonts w:ascii="宋体" w:eastAsia="宋体" w:hAnsi="宋体" w:cs="宋体"/>
          <w:color w:val="000000"/>
          <w:spacing w:val="-4"/>
          <w:sz w:val="32"/>
          <w:szCs w:val="32"/>
        </w:rPr>
        <w:t>经学校批准的学生创新创业用房，免收房产资源费。办公用房超过定额面积的，按288元/平方米·年的标准向学校缴纳房产资源费；其它用房按144元/平方米·年的标准向学校缴纳房产资源费。</w:t>
      </w:r>
    </w:p>
    <w:p w:rsidR="009A5FE1" w:rsidRPr="009A5FE1" w:rsidRDefault="009A5FE1" w:rsidP="009A5FE1">
      <w:pPr>
        <w:adjustRightInd/>
        <w:spacing w:after="0" w:line="52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第十八条 </w:t>
      </w:r>
      <w:r w:rsidRPr="009A5FE1">
        <w:rPr>
          <w:rFonts w:ascii="宋体" w:eastAsia="宋体" w:hAnsi="宋体" w:cs="宋体"/>
          <w:color w:val="000000"/>
          <w:spacing w:val="-4"/>
          <w:sz w:val="32"/>
          <w:szCs w:val="32"/>
        </w:rPr>
        <w:t> 学</w:t>
      </w:r>
      <w:r w:rsidRPr="009A5FE1">
        <w:rPr>
          <w:rFonts w:ascii="宋体" w:eastAsia="宋体" w:hAnsi="宋体" w:cs="宋体"/>
          <w:color w:val="000000"/>
          <w:spacing w:val="-14"/>
          <w:sz w:val="32"/>
          <w:szCs w:val="32"/>
        </w:rPr>
        <w:t>校每年对各学院上一年度的房产资源费进行结算。</w:t>
      </w:r>
    </w:p>
    <w:p w:rsidR="009A5FE1" w:rsidRPr="009A5FE1" w:rsidRDefault="009A5FE1" w:rsidP="009A5FE1">
      <w:pPr>
        <w:adjustRightInd/>
        <w:spacing w:after="0" w:line="52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第十九条 </w:t>
      </w:r>
      <w:r w:rsidRPr="009A5FE1">
        <w:rPr>
          <w:rFonts w:ascii="宋体" w:eastAsia="宋体" w:hAnsi="宋体" w:cs="宋体"/>
          <w:color w:val="000000"/>
          <w:spacing w:val="-4"/>
          <w:sz w:val="32"/>
          <w:szCs w:val="32"/>
        </w:rPr>
        <w:t> 各学院应缴房产资源费金额经各学院确认后，基建资产管理处向计划财务处提交扣款通知，由计划财务处根据各单位扣缴经费项目进行扣缴。若学院未在规定时间提交扣款清单或所提交扣款清单金额不足，计划财务处将按顺序依次从学院公用经费、业务维持费、绩效经费帐户扣缴，学校统筹安排时不再返还。</w:t>
      </w:r>
    </w:p>
    <w:p w:rsidR="009A5FE1" w:rsidRPr="009A5FE1" w:rsidRDefault="009A5FE1" w:rsidP="009A5FE1">
      <w:pPr>
        <w:adjustRightInd/>
        <w:spacing w:after="0" w:line="520" w:lineRule="atLeast"/>
        <w:ind w:firstLine="624"/>
        <w:rPr>
          <w:rFonts w:ascii="宋体" w:eastAsia="宋体" w:hAnsi="宋体" w:cs="宋体"/>
          <w:color w:val="000000"/>
          <w:sz w:val="20"/>
          <w:szCs w:val="20"/>
        </w:rPr>
      </w:pPr>
      <w:r w:rsidRPr="009A5FE1">
        <w:rPr>
          <w:rFonts w:ascii="宋体" w:eastAsia="宋体" w:hAnsi="宋体" w:cs="宋体"/>
          <w:b/>
          <w:bCs/>
          <w:color w:val="000000"/>
          <w:spacing w:val="-4"/>
          <w:sz w:val="32"/>
          <w:szCs w:val="32"/>
        </w:rPr>
        <w:t xml:space="preserve">第二十条 </w:t>
      </w:r>
      <w:r w:rsidRPr="009A5FE1">
        <w:rPr>
          <w:rFonts w:ascii="宋体" w:eastAsia="宋体" w:hAnsi="宋体" w:cs="宋体"/>
          <w:color w:val="000000"/>
          <w:spacing w:val="-4"/>
          <w:sz w:val="32"/>
          <w:szCs w:val="32"/>
        </w:rPr>
        <w:t> 对办公用房不足定额面积的学院，差额部分学校按144元/平方米·年的标准补贴给学院。</w:t>
      </w:r>
    </w:p>
    <w:p w:rsidR="009A5FE1" w:rsidRPr="009A5FE1" w:rsidRDefault="009A5FE1" w:rsidP="009A5FE1">
      <w:pPr>
        <w:adjustRightInd/>
        <w:spacing w:after="156" w:line="540" w:lineRule="atLeast"/>
        <w:jc w:val="center"/>
        <w:rPr>
          <w:rFonts w:ascii="宋体" w:eastAsia="宋体" w:hAnsi="宋体" w:cs="宋体"/>
          <w:b/>
          <w:color w:val="000000"/>
          <w:sz w:val="20"/>
          <w:szCs w:val="20"/>
        </w:rPr>
      </w:pPr>
      <w:r w:rsidRPr="009A5FE1">
        <w:rPr>
          <w:rFonts w:ascii="宋体" w:eastAsia="宋体" w:hAnsi="宋体" w:cs="宋体"/>
          <w:b/>
          <w:color w:val="000000"/>
          <w:sz w:val="32"/>
          <w:szCs w:val="32"/>
        </w:rPr>
        <w:t>第五章 附 则</w:t>
      </w:r>
    </w:p>
    <w:p w:rsidR="009A5FE1" w:rsidRPr="009A5FE1" w:rsidRDefault="009A5FE1" w:rsidP="009A5FE1">
      <w:pPr>
        <w:adjustRightInd/>
        <w:spacing w:after="0" w:line="540" w:lineRule="atLeast"/>
        <w:ind w:firstLine="640"/>
        <w:rPr>
          <w:rFonts w:ascii="宋体" w:eastAsia="宋体" w:hAnsi="宋体" w:cs="宋体"/>
          <w:color w:val="000000"/>
          <w:sz w:val="20"/>
          <w:szCs w:val="20"/>
        </w:rPr>
      </w:pPr>
      <w:r w:rsidRPr="009A5FE1">
        <w:rPr>
          <w:rFonts w:ascii="宋体" w:eastAsia="宋体" w:hAnsi="宋体" w:cs="宋体"/>
          <w:b/>
          <w:bCs/>
          <w:color w:val="000000"/>
          <w:sz w:val="32"/>
          <w:szCs w:val="32"/>
        </w:rPr>
        <w:lastRenderedPageBreak/>
        <w:t>第二十一条 </w:t>
      </w:r>
      <w:r w:rsidRPr="009A5FE1">
        <w:rPr>
          <w:rFonts w:ascii="宋体" w:eastAsia="宋体" w:hAnsi="宋体" w:cs="宋体"/>
          <w:color w:val="000000"/>
          <w:sz w:val="32"/>
          <w:szCs w:val="32"/>
        </w:rPr>
        <w:t>体育场馆、校级报告厅等公共活动平台有偿使用管理办法另行制订。</w:t>
      </w:r>
    </w:p>
    <w:p w:rsidR="009A5FE1" w:rsidRPr="009A5FE1" w:rsidRDefault="009A5FE1" w:rsidP="009A5FE1">
      <w:pPr>
        <w:adjustRightInd/>
        <w:spacing w:after="0" w:line="540" w:lineRule="atLeast"/>
        <w:ind w:firstLine="640"/>
        <w:rPr>
          <w:rFonts w:ascii="宋体" w:eastAsia="宋体" w:hAnsi="宋体" w:cs="宋体"/>
          <w:color w:val="000000"/>
          <w:sz w:val="20"/>
          <w:szCs w:val="20"/>
        </w:rPr>
      </w:pPr>
      <w:r w:rsidRPr="009A5FE1">
        <w:rPr>
          <w:rFonts w:ascii="宋体" w:eastAsia="宋体" w:hAnsi="宋体" w:cs="宋体"/>
          <w:b/>
          <w:bCs/>
          <w:color w:val="000000"/>
          <w:sz w:val="32"/>
          <w:szCs w:val="32"/>
        </w:rPr>
        <w:t xml:space="preserve">第二十二条 </w:t>
      </w:r>
      <w:r w:rsidRPr="009A5FE1">
        <w:rPr>
          <w:rFonts w:ascii="宋体" w:eastAsia="宋体" w:hAnsi="宋体" w:cs="宋体"/>
          <w:color w:val="000000"/>
          <w:sz w:val="32"/>
          <w:szCs w:val="32"/>
        </w:rPr>
        <w:t xml:space="preserve"> 各学院可参照本办法，结合本单位实际情况，制定各自的公用房管理办法，并报基建资产管理处备案。 </w:t>
      </w:r>
    </w:p>
    <w:p w:rsidR="009A5FE1" w:rsidRPr="009A5FE1" w:rsidRDefault="009A5FE1" w:rsidP="009A5FE1">
      <w:pPr>
        <w:adjustRightInd/>
        <w:spacing w:after="0" w:line="540" w:lineRule="atLeast"/>
        <w:ind w:firstLine="640"/>
        <w:rPr>
          <w:rFonts w:ascii="宋体" w:eastAsia="宋体" w:hAnsi="宋体" w:cs="宋体"/>
          <w:color w:val="000000"/>
          <w:sz w:val="20"/>
          <w:szCs w:val="20"/>
        </w:rPr>
      </w:pPr>
      <w:r w:rsidRPr="009A5FE1">
        <w:rPr>
          <w:rFonts w:ascii="宋体" w:eastAsia="宋体" w:hAnsi="宋体" w:cs="宋体"/>
          <w:b/>
          <w:bCs/>
          <w:color w:val="000000"/>
          <w:sz w:val="32"/>
          <w:szCs w:val="32"/>
        </w:rPr>
        <w:t xml:space="preserve">第二十三条 </w:t>
      </w:r>
      <w:r w:rsidRPr="009A5FE1">
        <w:rPr>
          <w:rFonts w:ascii="宋体" w:eastAsia="宋体" w:hAnsi="宋体" w:cs="宋体"/>
          <w:color w:val="000000"/>
          <w:sz w:val="32"/>
          <w:szCs w:val="32"/>
        </w:rPr>
        <w:t> 本办法自2018年7月1日起施行，由基建资产管理处负责解释，原《福州大学旗山校区公共用房使用管理规定》（福大后管〔2011〕47号）同时废止。</w:t>
      </w:r>
    </w:p>
    <w:p w:rsidR="004358AB" w:rsidRDefault="004358AB" w:rsidP="00D31D50">
      <w:pPr>
        <w:spacing w:line="220" w:lineRule="atLeast"/>
      </w:pPr>
    </w:p>
    <w:sectPr w:rsidR="004358AB" w:rsidSect="00F824CE">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10B6C"/>
    <w:rsid w:val="006A1012"/>
    <w:rsid w:val="00877E2C"/>
    <w:rsid w:val="008B7726"/>
    <w:rsid w:val="009A5FE1"/>
    <w:rsid w:val="00D31D50"/>
    <w:rsid w:val="00F82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498752">
      <w:bodyDiv w:val="1"/>
      <w:marLeft w:val="0"/>
      <w:marRight w:val="0"/>
      <w:marTop w:val="0"/>
      <w:marBottom w:val="0"/>
      <w:divBdr>
        <w:top w:val="none" w:sz="0" w:space="0" w:color="auto"/>
        <w:left w:val="none" w:sz="0" w:space="0" w:color="auto"/>
        <w:bottom w:val="none" w:sz="0" w:space="0" w:color="auto"/>
        <w:right w:val="none" w:sz="0" w:space="0" w:color="auto"/>
      </w:divBdr>
      <w:divsChild>
        <w:div w:id="1161967864">
          <w:marLeft w:val="0"/>
          <w:marRight w:val="0"/>
          <w:marTop w:val="0"/>
          <w:marBottom w:val="0"/>
          <w:divBdr>
            <w:top w:val="none" w:sz="0" w:space="0" w:color="auto"/>
            <w:left w:val="none" w:sz="0" w:space="0" w:color="auto"/>
            <w:bottom w:val="none" w:sz="0" w:space="0" w:color="auto"/>
            <w:right w:val="none" w:sz="0" w:space="0" w:color="auto"/>
          </w:divBdr>
          <w:divsChild>
            <w:div w:id="683020241">
              <w:marLeft w:val="0"/>
              <w:marRight w:val="0"/>
              <w:marTop w:val="0"/>
              <w:marBottom w:val="0"/>
              <w:divBdr>
                <w:top w:val="none" w:sz="0" w:space="0" w:color="auto"/>
                <w:left w:val="none" w:sz="0" w:space="0" w:color="auto"/>
                <w:bottom w:val="none" w:sz="0" w:space="0" w:color="auto"/>
                <w:right w:val="none" w:sz="0" w:space="0" w:color="auto"/>
              </w:divBdr>
              <w:divsChild>
                <w:div w:id="1545949728">
                  <w:marLeft w:val="0"/>
                  <w:marRight w:val="0"/>
                  <w:marTop w:val="75"/>
                  <w:marBottom w:val="0"/>
                  <w:divBdr>
                    <w:top w:val="none" w:sz="0" w:space="0" w:color="auto"/>
                    <w:left w:val="none" w:sz="0" w:space="0" w:color="auto"/>
                    <w:bottom w:val="none" w:sz="0" w:space="0" w:color="auto"/>
                    <w:right w:val="none" w:sz="0" w:space="0" w:color="auto"/>
                  </w:divBdr>
                  <w:divsChild>
                    <w:div w:id="1266689633">
                      <w:marLeft w:val="0"/>
                      <w:marRight w:val="0"/>
                      <w:marTop w:val="75"/>
                      <w:marBottom w:val="0"/>
                      <w:divBdr>
                        <w:top w:val="none" w:sz="0" w:space="0" w:color="auto"/>
                        <w:left w:val="none" w:sz="0" w:space="0" w:color="auto"/>
                        <w:bottom w:val="none" w:sz="0" w:space="0" w:color="auto"/>
                        <w:right w:val="none" w:sz="0" w:space="0" w:color="auto"/>
                      </w:divBdr>
                      <w:divsChild>
                        <w:div w:id="660814903">
                          <w:marLeft w:val="0"/>
                          <w:marRight w:val="0"/>
                          <w:marTop w:val="156"/>
                          <w:marBottom w:val="156"/>
                          <w:divBdr>
                            <w:top w:val="none" w:sz="0" w:space="0" w:color="auto"/>
                            <w:left w:val="none" w:sz="0" w:space="0" w:color="auto"/>
                            <w:bottom w:val="none" w:sz="0" w:space="0" w:color="auto"/>
                            <w:right w:val="none" w:sz="0" w:space="0" w:color="auto"/>
                          </w:divBdr>
                        </w:div>
                        <w:div w:id="647245896">
                          <w:marLeft w:val="0"/>
                          <w:marRight w:val="0"/>
                          <w:marTop w:val="0"/>
                          <w:marBottom w:val="0"/>
                          <w:divBdr>
                            <w:top w:val="none" w:sz="0" w:space="0" w:color="auto"/>
                            <w:left w:val="none" w:sz="0" w:space="0" w:color="auto"/>
                            <w:bottom w:val="none" w:sz="0" w:space="0" w:color="auto"/>
                            <w:right w:val="none" w:sz="0" w:space="0" w:color="auto"/>
                          </w:divBdr>
                        </w:div>
                        <w:div w:id="1492597368">
                          <w:marLeft w:val="0"/>
                          <w:marRight w:val="0"/>
                          <w:marTop w:val="0"/>
                          <w:marBottom w:val="0"/>
                          <w:divBdr>
                            <w:top w:val="none" w:sz="0" w:space="0" w:color="auto"/>
                            <w:left w:val="none" w:sz="0" w:space="0" w:color="auto"/>
                            <w:bottom w:val="none" w:sz="0" w:space="0" w:color="auto"/>
                            <w:right w:val="none" w:sz="0" w:space="0" w:color="auto"/>
                          </w:divBdr>
                        </w:div>
                        <w:div w:id="343869153">
                          <w:marLeft w:val="0"/>
                          <w:marRight w:val="0"/>
                          <w:marTop w:val="0"/>
                          <w:marBottom w:val="0"/>
                          <w:divBdr>
                            <w:top w:val="none" w:sz="0" w:space="0" w:color="auto"/>
                            <w:left w:val="none" w:sz="0" w:space="0" w:color="auto"/>
                            <w:bottom w:val="none" w:sz="0" w:space="0" w:color="auto"/>
                            <w:right w:val="none" w:sz="0" w:space="0" w:color="auto"/>
                          </w:divBdr>
                        </w:div>
                        <w:div w:id="1836261152">
                          <w:marLeft w:val="0"/>
                          <w:marRight w:val="0"/>
                          <w:marTop w:val="156"/>
                          <w:marBottom w:val="156"/>
                          <w:divBdr>
                            <w:top w:val="none" w:sz="0" w:space="0" w:color="auto"/>
                            <w:left w:val="none" w:sz="0" w:space="0" w:color="auto"/>
                            <w:bottom w:val="none" w:sz="0" w:space="0" w:color="auto"/>
                            <w:right w:val="none" w:sz="0" w:space="0" w:color="auto"/>
                          </w:divBdr>
                        </w:div>
                        <w:div w:id="224730730">
                          <w:marLeft w:val="0"/>
                          <w:marRight w:val="0"/>
                          <w:marTop w:val="0"/>
                          <w:marBottom w:val="0"/>
                          <w:divBdr>
                            <w:top w:val="none" w:sz="0" w:space="0" w:color="auto"/>
                            <w:left w:val="none" w:sz="0" w:space="0" w:color="auto"/>
                            <w:bottom w:val="none" w:sz="0" w:space="0" w:color="auto"/>
                            <w:right w:val="none" w:sz="0" w:space="0" w:color="auto"/>
                          </w:divBdr>
                        </w:div>
                        <w:div w:id="1692218002">
                          <w:marLeft w:val="0"/>
                          <w:marRight w:val="0"/>
                          <w:marTop w:val="0"/>
                          <w:marBottom w:val="0"/>
                          <w:divBdr>
                            <w:top w:val="none" w:sz="0" w:space="0" w:color="auto"/>
                            <w:left w:val="none" w:sz="0" w:space="0" w:color="auto"/>
                            <w:bottom w:val="none" w:sz="0" w:space="0" w:color="auto"/>
                            <w:right w:val="none" w:sz="0" w:space="0" w:color="auto"/>
                          </w:divBdr>
                        </w:div>
                        <w:div w:id="771121802">
                          <w:marLeft w:val="0"/>
                          <w:marRight w:val="0"/>
                          <w:marTop w:val="0"/>
                          <w:marBottom w:val="0"/>
                          <w:divBdr>
                            <w:top w:val="none" w:sz="0" w:space="0" w:color="auto"/>
                            <w:left w:val="none" w:sz="0" w:space="0" w:color="auto"/>
                            <w:bottom w:val="none" w:sz="0" w:space="0" w:color="auto"/>
                            <w:right w:val="none" w:sz="0" w:space="0" w:color="auto"/>
                          </w:divBdr>
                        </w:div>
                        <w:div w:id="1961263005">
                          <w:marLeft w:val="0"/>
                          <w:marRight w:val="0"/>
                          <w:marTop w:val="0"/>
                          <w:marBottom w:val="0"/>
                          <w:divBdr>
                            <w:top w:val="none" w:sz="0" w:space="0" w:color="auto"/>
                            <w:left w:val="none" w:sz="0" w:space="0" w:color="auto"/>
                            <w:bottom w:val="none" w:sz="0" w:space="0" w:color="auto"/>
                            <w:right w:val="none" w:sz="0" w:space="0" w:color="auto"/>
                          </w:divBdr>
                        </w:div>
                        <w:div w:id="1280917397">
                          <w:marLeft w:val="0"/>
                          <w:marRight w:val="0"/>
                          <w:marTop w:val="0"/>
                          <w:marBottom w:val="0"/>
                          <w:divBdr>
                            <w:top w:val="none" w:sz="0" w:space="0" w:color="auto"/>
                            <w:left w:val="none" w:sz="0" w:space="0" w:color="auto"/>
                            <w:bottom w:val="none" w:sz="0" w:space="0" w:color="auto"/>
                            <w:right w:val="none" w:sz="0" w:space="0" w:color="auto"/>
                          </w:divBdr>
                        </w:div>
                        <w:div w:id="1204557668">
                          <w:marLeft w:val="0"/>
                          <w:marRight w:val="0"/>
                          <w:marTop w:val="0"/>
                          <w:marBottom w:val="0"/>
                          <w:divBdr>
                            <w:top w:val="none" w:sz="0" w:space="0" w:color="auto"/>
                            <w:left w:val="none" w:sz="0" w:space="0" w:color="auto"/>
                            <w:bottom w:val="none" w:sz="0" w:space="0" w:color="auto"/>
                            <w:right w:val="none" w:sz="0" w:space="0" w:color="auto"/>
                          </w:divBdr>
                        </w:div>
                        <w:div w:id="1937131968">
                          <w:marLeft w:val="0"/>
                          <w:marRight w:val="0"/>
                          <w:marTop w:val="0"/>
                          <w:marBottom w:val="0"/>
                          <w:divBdr>
                            <w:top w:val="none" w:sz="0" w:space="0" w:color="auto"/>
                            <w:left w:val="none" w:sz="0" w:space="0" w:color="auto"/>
                            <w:bottom w:val="none" w:sz="0" w:space="0" w:color="auto"/>
                            <w:right w:val="none" w:sz="0" w:space="0" w:color="auto"/>
                          </w:divBdr>
                        </w:div>
                        <w:div w:id="1598637130">
                          <w:marLeft w:val="0"/>
                          <w:marRight w:val="0"/>
                          <w:marTop w:val="0"/>
                          <w:marBottom w:val="0"/>
                          <w:divBdr>
                            <w:top w:val="none" w:sz="0" w:space="0" w:color="auto"/>
                            <w:left w:val="none" w:sz="0" w:space="0" w:color="auto"/>
                            <w:bottom w:val="none" w:sz="0" w:space="0" w:color="auto"/>
                            <w:right w:val="none" w:sz="0" w:space="0" w:color="auto"/>
                          </w:divBdr>
                        </w:div>
                        <w:div w:id="1488864116">
                          <w:marLeft w:val="0"/>
                          <w:marRight w:val="0"/>
                          <w:marTop w:val="156"/>
                          <w:marBottom w:val="156"/>
                          <w:divBdr>
                            <w:top w:val="none" w:sz="0" w:space="0" w:color="auto"/>
                            <w:left w:val="none" w:sz="0" w:space="0" w:color="auto"/>
                            <w:bottom w:val="none" w:sz="0" w:space="0" w:color="auto"/>
                            <w:right w:val="none" w:sz="0" w:space="0" w:color="auto"/>
                          </w:divBdr>
                        </w:div>
                        <w:div w:id="1449467982">
                          <w:marLeft w:val="0"/>
                          <w:marRight w:val="0"/>
                          <w:marTop w:val="0"/>
                          <w:marBottom w:val="0"/>
                          <w:divBdr>
                            <w:top w:val="none" w:sz="0" w:space="0" w:color="auto"/>
                            <w:left w:val="none" w:sz="0" w:space="0" w:color="auto"/>
                            <w:bottom w:val="none" w:sz="0" w:space="0" w:color="auto"/>
                            <w:right w:val="none" w:sz="0" w:space="0" w:color="auto"/>
                          </w:divBdr>
                        </w:div>
                        <w:div w:id="1484077368">
                          <w:marLeft w:val="0"/>
                          <w:marRight w:val="0"/>
                          <w:marTop w:val="0"/>
                          <w:marBottom w:val="0"/>
                          <w:divBdr>
                            <w:top w:val="none" w:sz="0" w:space="0" w:color="auto"/>
                            <w:left w:val="none" w:sz="0" w:space="0" w:color="auto"/>
                            <w:bottom w:val="none" w:sz="0" w:space="0" w:color="auto"/>
                            <w:right w:val="none" w:sz="0" w:space="0" w:color="auto"/>
                          </w:divBdr>
                        </w:div>
                        <w:div w:id="1008681788">
                          <w:marLeft w:val="0"/>
                          <w:marRight w:val="0"/>
                          <w:marTop w:val="0"/>
                          <w:marBottom w:val="0"/>
                          <w:divBdr>
                            <w:top w:val="none" w:sz="0" w:space="0" w:color="auto"/>
                            <w:left w:val="none" w:sz="0" w:space="0" w:color="auto"/>
                            <w:bottom w:val="none" w:sz="0" w:space="0" w:color="auto"/>
                            <w:right w:val="none" w:sz="0" w:space="0" w:color="auto"/>
                          </w:divBdr>
                        </w:div>
                        <w:div w:id="1633973933">
                          <w:marLeft w:val="0"/>
                          <w:marRight w:val="0"/>
                          <w:marTop w:val="0"/>
                          <w:marBottom w:val="0"/>
                          <w:divBdr>
                            <w:top w:val="none" w:sz="0" w:space="0" w:color="auto"/>
                            <w:left w:val="none" w:sz="0" w:space="0" w:color="auto"/>
                            <w:bottom w:val="none" w:sz="0" w:space="0" w:color="auto"/>
                            <w:right w:val="none" w:sz="0" w:space="0" w:color="auto"/>
                          </w:divBdr>
                        </w:div>
                        <w:div w:id="1856505148">
                          <w:marLeft w:val="0"/>
                          <w:marRight w:val="0"/>
                          <w:marTop w:val="0"/>
                          <w:marBottom w:val="0"/>
                          <w:divBdr>
                            <w:top w:val="none" w:sz="0" w:space="0" w:color="auto"/>
                            <w:left w:val="none" w:sz="0" w:space="0" w:color="auto"/>
                            <w:bottom w:val="none" w:sz="0" w:space="0" w:color="auto"/>
                            <w:right w:val="none" w:sz="0" w:space="0" w:color="auto"/>
                          </w:divBdr>
                        </w:div>
                        <w:div w:id="1602301768">
                          <w:marLeft w:val="0"/>
                          <w:marRight w:val="0"/>
                          <w:marTop w:val="0"/>
                          <w:marBottom w:val="0"/>
                          <w:divBdr>
                            <w:top w:val="none" w:sz="0" w:space="0" w:color="auto"/>
                            <w:left w:val="none" w:sz="0" w:space="0" w:color="auto"/>
                            <w:bottom w:val="none" w:sz="0" w:space="0" w:color="auto"/>
                            <w:right w:val="none" w:sz="0" w:space="0" w:color="auto"/>
                          </w:divBdr>
                        </w:div>
                        <w:div w:id="83259775">
                          <w:marLeft w:val="0"/>
                          <w:marRight w:val="0"/>
                          <w:marTop w:val="0"/>
                          <w:marBottom w:val="0"/>
                          <w:divBdr>
                            <w:top w:val="none" w:sz="0" w:space="0" w:color="auto"/>
                            <w:left w:val="none" w:sz="0" w:space="0" w:color="auto"/>
                            <w:bottom w:val="none" w:sz="0" w:space="0" w:color="auto"/>
                            <w:right w:val="none" w:sz="0" w:space="0" w:color="auto"/>
                          </w:divBdr>
                        </w:div>
                        <w:div w:id="1297294868">
                          <w:marLeft w:val="0"/>
                          <w:marRight w:val="0"/>
                          <w:marTop w:val="0"/>
                          <w:marBottom w:val="0"/>
                          <w:divBdr>
                            <w:top w:val="none" w:sz="0" w:space="0" w:color="auto"/>
                            <w:left w:val="none" w:sz="0" w:space="0" w:color="auto"/>
                            <w:bottom w:val="none" w:sz="0" w:space="0" w:color="auto"/>
                            <w:right w:val="none" w:sz="0" w:space="0" w:color="auto"/>
                          </w:divBdr>
                        </w:div>
                        <w:div w:id="1357578860">
                          <w:marLeft w:val="0"/>
                          <w:marRight w:val="0"/>
                          <w:marTop w:val="0"/>
                          <w:marBottom w:val="0"/>
                          <w:divBdr>
                            <w:top w:val="none" w:sz="0" w:space="0" w:color="auto"/>
                            <w:left w:val="none" w:sz="0" w:space="0" w:color="auto"/>
                            <w:bottom w:val="none" w:sz="0" w:space="0" w:color="auto"/>
                            <w:right w:val="none" w:sz="0" w:space="0" w:color="auto"/>
                          </w:divBdr>
                        </w:div>
                        <w:div w:id="1904028316">
                          <w:marLeft w:val="0"/>
                          <w:marRight w:val="0"/>
                          <w:marTop w:val="0"/>
                          <w:marBottom w:val="0"/>
                          <w:divBdr>
                            <w:top w:val="none" w:sz="0" w:space="0" w:color="auto"/>
                            <w:left w:val="none" w:sz="0" w:space="0" w:color="auto"/>
                            <w:bottom w:val="none" w:sz="0" w:space="0" w:color="auto"/>
                            <w:right w:val="none" w:sz="0" w:space="0" w:color="auto"/>
                          </w:divBdr>
                        </w:div>
                        <w:div w:id="1213275647">
                          <w:marLeft w:val="0"/>
                          <w:marRight w:val="0"/>
                          <w:marTop w:val="0"/>
                          <w:marBottom w:val="0"/>
                          <w:divBdr>
                            <w:top w:val="none" w:sz="0" w:space="0" w:color="auto"/>
                            <w:left w:val="none" w:sz="0" w:space="0" w:color="auto"/>
                            <w:bottom w:val="none" w:sz="0" w:space="0" w:color="auto"/>
                            <w:right w:val="none" w:sz="0" w:space="0" w:color="auto"/>
                          </w:divBdr>
                        </w:div>
                        <w:div w:id="1499348687">
                          <w:marLeft w:val="0"/>
                          <w:marRight w:val="0"/>
                          <w:marTop w:val="0"/>
                          <w:marBottom w:val="0"/>
                          <w:divBdr>
                            <w:top w:val="none" w:sz="0" w:space="0" w:color="auto"/>
                            <w:left w:val="none" w:sz="0" w:space="0" w:color="auto"/>
                            <w:bottom w:val="none" w:sz="0" w:space="0" w:color="auto"/>
                            <w:right w:val="none" w:sz="0" w:space="0" w:color="auto"/>
                          </w:divBdr>
                        </w:div>
                        <w:div w:id="611088635">
                          <w:marLeft w:val="0"/>
                          <w:marRight w:val="0"/>
                          <w:marTop w:val="0"/>
                          <w:marBottom w:val="0"/>
                          <w:divBdr>
                            <w:top w:val="none" w:sz="0" w:space="0" w:color="auto"/>
                            <w:left w:val="none" w:sz="0" w:space="0" w:color="auto"/>
                            <w:bottom w:val="none" w:sz="0" w:space="0" w:color="auto"/>
                            <w:right w:val="none" w:sz="0" w:space="0" w:color="auto"/>
                          </w:divBdr>
                        </w:div>
                        <w:div w:id="1621259185">
                          <w:marLeft w:val="0"/>
                          <w:marRight w:val="0"/>
                          <w:marTop w:val="0"/>
                          <w:marBottom w:val="0"/>
                          <w:divBdr>
                            <w:top w:val="none" w:sz="0" w:space="0" w:color="auto"/>
                            <w:left w:val="none" w:sz="0" w:space="0" w:color="auto"/>
                            <w:bottom w:val="none" w:sz="0" w:space="0" w:color="auto"/>
                            <w:right w:val="none" w:sz="0" w:space="0" w:color="auto"/>
                          </w:divBdr>
                        </w:div>
                        <w:div w:id="18165626">
                          <w:marLeft w:val="0"/>
                          <w:marRight w:val="0"/>
                          <w:marTop w:val="156"/>
                          <w:marBottom w:val="156"/>
                          <w:divBdr>
                            <w:top w:val="none" w:sz="0" w:space="0" w:color="auto"/>
                            <w:left w:val="none" w:sz="0" w:space="0" w:color="auto"/>
                            <w:bottom w:val="none" w:sz="0" w:space="0" w:color="auto"/>
                            <w:right w:val="none" w:sz="0" w:space="0" w:color="auto"/>
                          </w:divBdr>
                        </w:div>
                        <w:div w:id="1767966012">
                          <w:marLeft w:val="0"/>
                          <w:marRight w:val="0"/>
                          <w:marTop w:val="156"/>
                          <w:marBottom w:val="156"/>
                          <w:divBdr>
                            <w:top w:val="none" w:sz="0" w:space="0" w:color="auto"/>
                            <w:left w:val="none" w:sz="0" w:space="0" w:color="auto"/>
                            <w:bottom w:val="none" w:sz="0" w:space="0" w:color="auto"/>
                            <w:right w:val="none" w:sz="0" w:space="0" w:color="auto"/>
                          </w:divBdr>
                        </w:div>
                        <w:div w:id="1290741905">
                          <w:marLeft w:val="0"/>
                          <w:marRight w:val="0"/>
                          <w:marTop w:val="0"/>
                          <w:marBottom w:val="0"/>
                          <w:divBdr>
                            <w:top w:val="none" w:sz="0" w:space="0" w:color="auto"/>
                            <w:left w:val="none" w:sz="0" w:space="0" w:color="auto"/>
                            <w:bottom w:val="none" w:sz="0" w:space="0" w:color="auto"/>
                            <w:right w:val="none" w:sz="0" w:space="0" w:color="auto"/>
                          </w:divBdr>
                        </w:div>
                        <w:div w:id="1465850524">
                          <w:marLeft w:val="0"/>
                          <w:marRight w:val="0"/>
                          <w:marTop w:val="0"/>
                          <w:marBottom w:val="0"/>
                          <w:divBdr>
                            <w:top w:val="none" w:sz="0" w:space="0" w:color="auto"/>
                            <w:left w:val="none" w:sz="0" w:space="0" w:color="auto"/>
                            <w:bottom w:val="none" w:sz="0" w:space="0" w:color="auto"/>
                            <w:right w:val="none" w:sz="0" w:space="0" w:color="auto"/>
                          </w:divBdr>
                        </w:div>
                        <w:div w:id="1603027706">
                          <w:marLeft w:val="0"/>
                          <w:marRight w:val="0"/>
                          <w:marTop w:val="0"/>
                          <w:marBottom w:val="0"/>
                          <w:divBdr>
                            <w:top w:val="none" w:sz="0" w:space="0" w:color="auto"/>
                            <w:left w:val="none" w:sz="0" w:space="0" w:color="auto"/>
                            <w:bottom w:val="none" w:sz="0" w:space="0" w:color="auto"/>
                            <w:right w:val="none" w:sz="0" w:space="0" w:color="auto"/>
                          </w:divBdr>
                        </w:div>
                        <w:div w:id="26876085">
                          <w:marLeft w:val="0"/>
                          <w:marRight w:val="0"/>
                          <w:marTop w:val="0"/>
                          <w:marBottom w:val="0"/>
                          <w:divBdr>
                            <w:top w:val="none" w:sz="0" w:space="0" w:color="auto"/>
                            <w:left w:val="none" w:sz="0" w:space="0" w:color="auto"/>
                            <w:bottom w:val="none" w:sz="0" w:space="0" w:color="auto"/>
                            <w:right w:val="none" w:sz="0" w:space="0" w:color="auto"/>
                          </w:divBdr>
                        </w:div>
                        <w:div w:id="1802268305">
                          <w:marLeft w:val="0"/>
                          <w:marRight w:val="0"/>
                          <w:marTop w:val="156"/>
                          <w:marBottom w:val="156"/>
                          <w:divBdr>
                            <w:top w:val="none" w:sz="0" w:space="0" w:color="auto"/>
                            <w:left w:val="none" w:sz="0" w:space="0" w:color="auto"/>
                            <w:bottom w:val="none" w:sz="0" w:space="0" w:color="auto"/>
                            <w:right w:val="none" w:sz="0" w:space="0" w:color="auto"/>
                          </w:divBdr>
                        </w:div>
                        <w:div w:id="1622347881">
                          <w:marLeft w:val="0"/>
                          <w:marRight w:val="0"/>
                          <w:marTop w:val="0"/>
                          <w:marBottom w:val="0"/>
                          <w:divBdr>
                            <w:top w:val="none" w:sz="0" w:space="0" w:color="auto"/>
                            <w:left w:val="none" w:sz="0" w:space="0" w:color="auto"/>
                            <w:bottom w:val="none" w:sz="0" w:space="0" w:color="auto"/>
                            <w:right w:val="none" w:sz="0" w:space="0" w:color="auto"/>
                          </w:divBdr>
                        </w:div>
                        <w:div w:id="503127380">
                          <w:marLeft w:val="0"/>
                          <w:marRight w:val="0"/>
                          <w:marTop w:val="0"/>
                          <w:marBottom w:val="0"/>
                          <w:divBdr>
                            <w:top w:val="none" w:sz="0" w:space="0" w:color="auto"/>
                            <w:left w:val="none" w:sz="0" w:space="0" w:color="auto"/>
                            <w:bottom w:val="none" w:sz="0" w:space="0" w:color="auto"/>
                            <w:right w:val="none" w:sz="0" w:space="0" w:color="auto"/>
                          </w:divBdr>
                        </w:div>
                        <w:div w:id="11224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2018-06-04T03:24:00Z</dcterms:modified>
</cp:coreProperties>
</file>